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23" w:rsidRDefault="00AE1C23" w:rsidP="00DB7FB2">
      <w:pPr>
        <w:jc w:val="both"/>
        <w:rPr>
          <w:rFonts w:ascii="Arial" w:hAnsi="Arial" w:cs="Arial"/>
          <w:sz w:val="24"/>
          <w:szCs w:val="24"/>
        </w:rPr>
      </w:pPr>
    </w:p>
    <w:p w:rsidR="00E37D1C" w:rsidRPr="000570AC" w:rsidRDefault="00C158B4" w:rsidP="00DB7FB2">
      <w:pPr>
        <w:jc w:val="both"/>
        <w:rPr>
          <w:rFonts w:ascii="Times New Roman" w:hAnsi="Times New Roman" w:cs="Times New Roman"/>
          <w:sz w:val="24"/>
          <w:szCs w:val="24"/>
        </w:rPr>
      </w:pPr>
      <w:r w:rsidRPr="000570AC">
        <w:rPr>
          <w:rFonts w:ascii="Times New Roman" w:hAnsi="Times New Roman" w:cs="Times New Roman"/>
          <w:sz w:val="24"/>
          <w:szCs w:val="24"/>
        </w:rPr>
        <w:t xml:space="preserve">Donors to </w:t>
      </w:r>
      <w:r w:rsidR="00023244" w:rsidRPr="000570AC">
        <w:rPr>
          <w:rFonts w:ascii="Times New Roman" w:hAnsi="Times New Roman" w:cs="Times New Roman"/>
          <w:sz w:val="24"/>
          <w:szCs w:val="24"/>
        </w:rPr>
        <w:t>F</w:t>
      </w:r>
      <w:r w:rsidRPr="000570AC">
        <w:rPr>
          <w:rFonts w:ascii="Times New Roman" w:hAnsi="Times New Roman" w:cs="Times New Roman"/>
          <w:sz w:val="24"/>
          <w:szCs w:val="24"/>
        </w:rPr>
        <w:t xml:space="preserve">MF can rest assured that their generosity goes directly to helping injured warriors transition </w:t>
      </w:r>
      <w:r w:rsidR="002E7E66" w:rsidRPr="000570AC">
        <w:rPr>
          <w:rFonts w:ascii="Times New Roman" w:hAnsi="Times New Roman" w:cs="Times New Roman"/>
          <w:sz w:val="24"/>
          <w:szCs w:val="24"/>
        </w:rPr>
        <w:t>from the battlefield to</w:t>
      </w:r>
      <w:r w:rsidRPr="000570AC">
        <w:rPr>
          <w:rFonts w:ascii="Times New Roman" w:hAnsi="Times New Roman" w:cs="Times New Roman"/>
          <w:sz w:val="24"/>
          <w:szCs w:val="24"/>
        </w:rPr>
        <w:t xml:space="preserve"> civilian </w:t>
      </w:r>
      <w:r w:rsidR="00243D44" w:rsidRPr="000570AC">
        <w:rPr>
          <w:rFonts w:ascii="Times New Roman" w:hAnsi="Times New Roman" w:cs="Times New Roman"/>
          <w:sz w:val="24"/>
          <w:szCs w:val="24"/>
        </w:rPr>
        <w:t>li</w:t>
      </w:r>
      <w:r w:rsidR="002E7E66" w:rsidRPr="000570AC">
        <w:rPr>
          <w:rFonts w:ascii="Times New Roman" w:hAnsi="Times New Roman" w:cs="Times New Roman"/>
          <w:sz w:val="24"/>
          <w:szCs w:val="24"/>
        </w:rPr>
        <w:t>fe</w:t>
      </w:r>
      <w:r w:rsidRPr="000570AC">
        <w:rPr>
          <w:rFonts w:ascii="Times New Roman" w:hAnsi="Times New Roman" w:cs="Times New Roman"/>
          <w:sz w:val="24"/>
          <w:szCs w:val="24"/>
        </w:rPr>
        <w:t xml:space="preserve">.   The Board of Directors of </w:t>
      </w:r>
      <w:r w:rsidR="00023244" w:rsidRPr="000570AC">
        <w:rPr>
          <w:rFonts w:ascii="Times New Roman" w:hAnsi="Times New Roman" w:cs="Times New Roman"/>
          <w:sz w:val="24"/>
          <w:szCs w:val="24"/>
        </w:rPr>
        <w:t>F</w:t>
      </w:r>
      <w:r w:rsidRPr="000570AC">
        <w:rPr>
          <w:rFonts w:ascii="Times New Roman" w:hAnsi="Times New Roman" w:cs="Times New Roman"/>
          <w:sz w:val="24"/>
          <w:szCs w:val="24"/>
        </w:rPr>
        <w:t xml:space="preserve">MF takes very seriously its duty to be good stewards of the funds that the organization receives from its </w:t>
      </w:r>
      <w:r w:rsidR="00E217DD" w:rsidRPr="000570AC">
        <w:rPr>
          <w:rFonts w:ascii="Times New Roman" w:hAnsi="Times New Roman" w:cs="Times New Roman"/>
          <w:sz w:val="24"/>
          <w:szCs w:val="24"/>
        </w:rPr>
        <w:t xml:space="preserve">loyal </w:t>
      </w:r>
      <w:r w:rsidRPr="000570AC">
        <w:rPr>
          <w:rFonts w:ascii="Times New Roman" w:hAnsi="Times New Roman" w:cs="Times New Roman"/>
          <w:sz w:val="24"/>
          <w:szCs w:val="24"/>
        </w:rPr>
        <w:t>supporters.  In that regard, with the exception of</w:t>
      </w:r>
      <w:r w:rsidR="005B73B7" w:rsidRPr="000570AC">
        <w:rPr>
          <w:rFonts w:ascii="Times New Roman" w:hAnsi="Times New Roman" w:cs="Times New Roman"/>
          <w:sz w:val="24"/>
          <w:szCs w:val="24"/>
        </w:rPr>
        <w:t xml:space="preserve"> our VP-Development, Focus</w:t>
      </w:r>
      <w:r w:rsidR="00126C15" w:rsidRPr="000570AC">
        <w:rPr>
          <w:rFonts w:ascii="Times New Roman" w:hAnsi="Times New Roman" w:cs="Times New Roman"/>
          <w:sz w:val="24"/>
          <w:szCs w:val="24"/>
        </w:rPr>
        <w:t xml:space="preserve"> </w:t>
      </w:r>
      <w:r w:rsidR="0034104B" w:rsidRPr="000570AC">
        <w:rPr>
          <w:rFonts w:ascii="Times New Roman" w:hAnsi="Times New Roman" w:cs="Times New Roman"/>
          <w:sz w:val="24"/>
          <w:szCs w:val="24"/>
        </w:rPr>
        <w:t>P</w:t>
      </w:r>
      <w:r w:rsidR="00126C15" w:rsidRPr="000570AC">
        <w:rPr>
          <w:rFonts w:ascii="Times New Roman" w:hAnsi="Times New Roman" w:cs="Times New Roman"/>
          <w:sz w:val="24"/>
          <w:szCs w:val="24"/>
        </w:rPr>
        <w:t xml:space="preserve">rogram </w:t>
      </w:r>
      <w:r w:rsidR="0034104B" w:rsidRPr="000570AC">
        <w:rPr>
          <w:rFonts w:ascii="Times New Roman" w:hAnsi="Times New Roman" w:cs="Times New Roman"/>
          <w:sz w:val="24"/>
          <w:szCs w:val="24"/>
        </w:rPr>
        <w:t>A</w:t>
      </w:r>
      <w:r w:rsidR="00126C15" w:rsidRPr="000570AC">
        <w:rPr>
          <w:rFonts w:ascii="Times New Roman" w:hAnsi="Times New Roman" w:cs="Times New Roman"/>
          <w:sz w:val="24"/>
          <w:szCs w:val="24"/>
        </w:rPr>
        <w:t>dministrator</w:t>
      </w:r>
      <w:r w:rsidR="00023244" w:rsidRPr="000570AC">
        <w:rPr>
          <w:rFonts w:ascii="Times New Roman" w:hAnsi="Times New Roman" w:cs="Times New Roman"/>
          <w:sz w:val="24"/>
          <w:szCs w:val="24"/>
        </w:rPr>
        <w:t>,</w:t>
      </w:r>
      <w:r w:rsidR="005722A4" w:rsidRPr="000570AC">
        <w:rPr>
          <w:rFonts w:ascii="Times New Roman" w:hAnsi="Times New Roman" w:cs="Times New Roman"/>
          <w:sz w:val="24"/>
          <w:szCs w:val="24"/>
        </w:rPr>
        <w:t xml:space="preserve"> </w:t>
      </w:r>
      <w:r w:rsidR="00D17D62" w:rsidRPr="000570AC">
        <w:rPr>
          <w:rFonts w:ascii="Times New Roman" w:hAnsi="Times New Roman" w:cs="Times New Roman"/>
          <w:sz w:val="24"/>
          <w:szCs w:val="24"/>
        </w:rPr>
        <w:t xml:space="preserve">and our Administrative Assistant, </w:t>
      </w:r>
      <w:r w:rsidRPr="000570AC">
        <w:rPr>
          <w:rFonts w:ascii="Times New Roman" w:hAnsi="Times New Roman" w:cs="Times New Roman"/>
          <w:sz w:val="24"/>
          <w:szCs w:val="24"/>
        </w:rPr>
        <w:t xml:space="preserve">all of </w:t>
      </w:r>
      <w:r w:rsidR="00023244" w:rsidRPr="000570AC">
        <w:rPr>
          <w:rFonts w:ascii="Times New Roman" w:hAnsi="Times New Roman" w:cs="Times New Roman"/>
          <w:sz w:val="24"/>
          <w:szCs w:val="24"/>
        </w:rPr>
        <w:t>F</w:t>
      </w:r>
      <w:r w:rsidRPr="000570AC">
        <w:rPr>
          <w:rFonts w:ascii="Times New Roman" w:hAnsi="Times New Roman" w:cs="Times New Roman"/>
          <w:sz w:val="24"/>
          <w:szCs w:val="24"/>
        </w:rPr>
        <w:t>MF’s board members, officers</w:t>
      </w:r>
      <w:r w:rsidR="00DB7FB2" w:rsidRPr="000570AC">
        <w:rPr>
          <w:rFonts w:ascii="Times New Roman" w:hAnsi="Times New Roman" w:cs="Times New Roman"/>
          <w:sz w:val="24"/>
          <w:szCs w:val="24"/>
        </w:rPr>
        <w:t>,</w:t>
      </w:r>
      <w:r w:rsidRPr="000570AC">
        <w:rPr>
          <w:rFonts w:ascii="Times New Roman" w:hAnsi="Times New Roman" w:cs="Times New Roman"/>
          <w:sz w:val="24"/>
          <w:szCs w:val="24"/>
        </w:rPr>
        <w:t xml:space="preserve"> team leaders</w:t>
      </w:r>
      <w:r w:rsidR="00DB7FB2" w:rsidRPr="000570AC">
        <w:rPr>
          <w:rFonts w:ascii="Times New Roman" w:hAnsi="Times New Roman" w:cs="Times New Roman"/>
          <w:sz w:val="24"/>
          <w:szCs w:val="24"/>
        </w:rPr>
        <w:t>, kitchen staff and other support personnel</w:t>
      </w:r>
      <w:r w:rsidRPr="000570AC">
        <w:rPr>
          <w:rFonts w:ascii="Times New Roman" w:hAnsi="Times New Roman" w:cs="Times New Roman"/>
          <w:sz w:val="24"/>
          <w:szCs w:val="24"/>
        </w:rPr>
        <w:t xml:space="preserve"> are unpaid volunteers who contribute</w:t>
      </w:r>
      <w:r w:rsidR="00E217DD" w:rsidRPr="000570AC">
        <w:rPr>
          <w:rFonts w:ascii="Times New Roman" w:hAnsi="Times New Roman" w:cs="Times New Roman"/>
          <w:sz w:val="24"/>
          <w:szCs w:val="24"/>
        </w:rPr>
        <w:t>d</w:t>
      </w:r>
      <w:r w:rsidRPr="000570AC">
        <w:rPr>
          <w:rFonts w:ascii="Times New Roman" w:hAnsi="Times New Roman" w:cs="Times New Roman"/>
          <w:sz w:val="24"/>
          <w:szCs w:val="24"/>
        </w:rPr>
        <w:t xml:space="preserve"> </w:t>
      </w:r>
      <w:r w:rsidR="005722A4" w:rsidRPr="000570AC">
        <w:rPr>
          <w:rFonts w:ascii="Times New Roman" w:hAnsi="Times New Roman" w:cs="Times New Roman"/>
          <w:sz w:val="24"/>
          <w:szCs w:val="24"/>
        </w:rPr>
        <w:t>over 1</w:t>
      </w:r>
      <w:r w:rsidR="001476B6" w:rsidRPr="000570AC">
        <w:rPr>
          <w:rFonts w:ascii="Times New Roman" w:hAnsi="Times New Roman" w:cs="Times New Roman"/>
          <w:sz w:val="24"/>
          <w:szCs w:val="24"/>
        </w:rPr>
        <w:t>6</w:t>
      </w:r>
      <w:r w:rsidR="005722A4" w:rsidRPr="000570AC">
        <w:rPr>
          <w:rFonts w:ascii="Times New Roman" w:hAnsi="Times New Roman" w:cs="Times New Roman"/>
          <w:sz w:val="24"/>
          <w:szCs w:val="24"/>
        </w:rPr>
        <w:t xml:space="preserve">,000 </w:t>
      </w:r>
      <w:r w:rsidRPr="000570AC">
        <w:rPr>
          <w:rFonts w:ascii="Times New Roman" w:hAnsi="Times New Roman" w:cs="Times New Roman"/>
          <w:sz w:val="24"/>
          <w:szCs w:val="24"/>
        </w:rPr>
        <w:t>man hours</w:t>
      </w:r>
      <w:r w:rsidR="005722A4" w:rsidRPr="000570AC">
        <w:rPr>
          <w:rFonts w:ascii="Times New Roman" w:hAnsi="Times New Roman" w:cs="Times New Roman"/>
          <w:sz w:val="24"/>
          <w:szCs w:val="24"/>
        </w:rPr>
        <w:t xml:space="preserve"> in 201</w:t>
      </w:r>
      <w:r w:rsidR="001476B6" w:rsidRPr="000570AC">
        <w:rPr>
          <w:rFonts w:ascii="Times New Roman" w:hAnsi="Times New Roman" w:cs="Times New Roman"/>
          <w:sz w:val="24"/>
          <w:szCs w:val="24"/>
        </w:rPr>
        <w:t>6</w:t>
      </w:r>
      <w:r w:rsidRPr="000570AC">
        <w:rPr>
          <w:rFonts w:ascii="Times New Roman" w:hAnsi="Times New Roman" w:cs="Times New Roman"/>
          <w:sz w:val="24"/>
          <w:szCs w:val="24"/>
        </w:rPr>
        <w:t xml:space="preserve"> to fulfill </w:t>
      </w:r>
      <w:r w:rsidR="00023244" w:rsidRPr="000570AC">
        <w:rPr>
          <w:rFonts w:ascii="Times New Roman" w:hAnsi="Times New Roman" w:cs="Times New Roman"/>
          <w:sz w:val="24"/>
          <w:szCs w:val="24"/>
        </w:rPr>
        <w:t>F</w:t>
      </w:r>
      <w:r w:rsidRPr="000570AC">
        <w:rPr>
          <w:rFonts w:ascii="Times New Roman" w:hAnsi="Times New Roman" w:cs="Times New Roman"/>
          <w:sz w:val="24"/>
          <w:szCs w:val="24"/>
        </w:rPr>
        <w:t xml:space="preserve">MF’s mission to support wounded warriors.  In addition, all facilities for the training and housing </w:t>
      </w:r>
      <w:r w:rsidR="005B73B7" w:rsidRPr="000570AC">
        <w:rPr>
          <w:rFonts w:ascii="Times New Roman" w:hAnsi="Times New Roman" w:cs="Times New Roman"/>
          <w:sz w:val="24"/>
          <w:szCs w:val="24"/>
        </w:rPr>
        <w:t xml:space="preserve">of </w:t>
      </w:r>
      <w:r w:rsidRPr="000570AC">
        <w:rPr>
          <w:rFonts w:ascii="Times New Roman" w:hAnsi="Times New Roman" w:cs="Times New Roman"/>
          <w:sz w:val="24"/>
          <w:szCs w:val="24"/>
        </w:rPr>
        <w:t>participants</w:t>
      </w:r>
      <w:r w:rsidR="005722A4" w:rsidRPr="000570AC">
        <w:rPr>
          <w:rFonts w:ascii="Times New Roman" w:hAnsi="Times New Roman" w:cs="Times New Roman"/>
          <w:sz w:val="24"/>
          <w:szCs w:val="24"/>
        </w:rPr>
        <w:t xml:space="preserve"> and </w:t>
      </w:r>
      <w:r w:rsidR="00E217DD" w:rsidRPr="000570AC">
        <w:rPr>
          <w:rFonts w:ascii="Times New Roman" w:hAnsi="Times New Roman" w:cs="Times New Roman"/>
          <w:sz w:val="24"/>
          <w:szCs w:val="24"/>
        </w:rPr>
        <w:t>team leaders</w:t>
      </w:r>
      <w:r w:rsidR="005B73B7" w:rsidRPr="000570AC">
        <w:rPr>
          <w:rFonts w:ascii="Times New Roman" w:hAnsi="Times New Roman" w:cs="Times New Roman"/>
          <w:sz w:val="24"/>
          <w:szCs w:val="24"/>
        </w:rPr>
        <w:t xml:space="preserve"> during the week-long courses</w:t>
      </w:r>
      <w:r w:rsidRPr="000570AC">
        <w:rPr>
          <w:rFonts w:ascii="Times New Roman" w:hAnsi="Times New Roman" w:cs="Times New Roman"/>
          <w:sz w:val="24"/>
          <w:szCs w:val="24"/>
        </w:rPr>
        <w:t xml:space="preserve"> are provided at no charge to the organization.  As a result, </w:t>
      </w:r>
      <w:r w:rsidR="00DB7FB2" w:rsidRPr="000570AC">
        <w:rPr>
          <w:rFonts w:ascii="Times New Roman" w:hAnsi="Times New Roman" w:cs="Times New Roman"/>
          <w:sz w:val="24"/>
          <w:szCs w:val="24"/>
        </w:rPr>
        <w:t xml:space="preserve">operational and </w:t>
      </w:r>
      <w:r w:rsidRPr="000570AC">
        <w:rPr>
          <w:rFonts w:ascii="Times New Roman" w:hAnsi="Times New Roman" w:cs="Times New Roman"/>
          <w:sz w:val="24"/>
          <w:szCs w:val="24"/>
        </w:rPr>
        <w:t xml:space="preserve">administrative </w:t>
      </w:r>
      <w:r w:rsidR="005B73B7" w:rsidRPr="000570AC">
        <w:rPr>
          <w:rFonts w:ascii="Times New Roman" w:hAnsi="Times New Roman" w:cs="Times New Roman"/>
          <w:sz w:val="24"/>
          <w:szCs w:val="24"/>
        </w:rPr>
        <w:t>expenditures</w:t>
      </w:r>
      <w:r w:rsidRPr="000570AC">
        <w:rPr>
          <w:rFonts w:ascii="Times New Roman" w:hAnsi="Times New Roman" w:cs="Times New Roman"/>
          <w:sz w:val="24"/>
          <w:szCs w:val="24"/>
        </w:rPr>
        <w:t xml:space="preserve"> </w:t>
      </w:r>
      <w:r w:rsidR="00DB7FB2" w:rsidRPr="000570AC">
        <w:rPr>
          <w:rFonts w:ascii="Times New Roman" w:hAnsi="Times New Roman" w:cs="Times New Roman"/>
          <w:sz w:val="24"/>
          <w:szCs w:val="24"/>
        </w:rPr>
        <w:t xml:space="preserve">are kept to an absolute minimum so that your contribution </w:t>
      </w:r>
      <w:r w:rsidR="00D36CD5" w:rsidRPr="000570AC">
        <w:rPr>
          <w:rFonts w:ascii="Times New Roman" w:hAnsi="Times New Roman" w:cs="Times New Roman"/>
          <w:sz w:val="24"/>
          <w:szCs w:val="24"/>
        </w:rPr>
        <w:t>goes</w:t>
      </w:r>
      <w:r w:rsidR="00DB7FB2" w:rsidRPr="000570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B7FB2" w:rsidRPr="000570AC">
        <w:rPr>
          <w:rFonts w:ascii="Times New Roman" w:hAnsi="Times New Roman" w:cs="Times New Roman"/>
          <w:sz w:val="24"/>
          <w:szCs w:val="24"/>
        </w:rPr>
        <w:t xml:space="preserve">to the </w:t>
      </w:r>
      <w:r w:rsidR="00D36CD5" w:rsidRPr="000570AC">
        <w:rPr>
          <w:rFonts w:ascii="Times New Roman" w:hAnsi="Times New Roman" w:cs="Times New Roman"/>
          <w:sz w:val="24"/>
          <w:szCs w:val="24"/>
        </w:rPr>
        <w:t>execution</w:t>
      </w:r>
      <w:r w:rsidR="00DB7FB2" w:rsidRPr="000570AC">
        <w:rPr>
          <w:rFonts w:ascii="Times New Roman" w:hAnsi="Times New Roman" w:cs="Times New Roman"/>
          <w:sz w:val="24"/>
          <w:szCs w:val="24"/>
        </w:rPr>
        <w:t xml:space="preserve"> of our week-long workshops and mentoring program. </w:t>
      </w:r>
    </w:p>
    <w:p w:rsidR="00DB7FB2" w:rsidRPr="000570AC" w:rsidRDefault="0034104B" w:rsidP="00DB7FB2">
      <w:pPr>
        <w:jc w:val="both"/>
        <w:rPr>
          <w:rFonts w:ascii="Times New Roman" w:hAnsi="Times New Roman" w:cs="Times New Roman"/>
          <w:sz w:val="24"/>
          <w:szCs w:val="24"/>
        </w:rPr>
      </w:pPr>
      <w:r w:rsidRPr="000570A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F6408" w:rsidRPr="000570A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7FB2" w:rsidRPr="000570AC" w:rsidRDefault="005B73B7" w:rsidP="009004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0A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705349" cy="4076698"/>
            <wp:effectExtent l="19050" t="0" r="19051" b="2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00470" w:rsidRPr="000570AC" w:rsidRDefault="005B73B7" w:rsidP="00DB7FB2">
      <w:pPr>
        <w:jc w:val="both"/>
        <w:rPr>
          <w:rFonts w:ascii="Times New Roman" w:hAnsi="Times New Roman" w:cs="Times New Roman"/>
          <w:sz w:val="20"/>
          <w:szCs w:val="20"/>
        </w:rPr>
      </w:pPr>
      <w:r w:rsidRPr="000570AC">
        <w:rPr>
          <w:rFonts w:ascii="Times New Roman" w:hAnsi="Times New Roman" w:cs="Times New Roman"/>
          <w:sz w:val="20"/>
          <w:szCs w:val="20"/>
        </w:rPr>
        <w:t xml:space="preserve">                  Note: Costs include in-kind contributions of goods &amp; services.</w:t>
      </w:r>
    </w:p>
    <w:p w:rsidR="00DB7FB2" w:rsidRPr="000570AC" w:rsidRDefault="00796002" w:rsidP="00DB7FB2">
      <w:pPr>
        <w:jc w:val="both"/>
        <w:rPr>
          <w:rFonts w:ascii="Times New Roman" w:hAnsi="Times New Roman" w:cs="Times New Roman"/>
          <w:sz w:val="24"/>
          <w:szCs w:val="24"/>
        </w:rPr>
      </w:pPr>
      <w:r w:rsidRPr="000570A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C5E35" w:rsidRPr="000570AC" w:rsidRDefault="000C5E35" w:rsidP="00900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3B7" w:rsidRPr="000570AC" w:rsidRDefault="005B73B7" w:rsidP="00900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3B7" w:rsidRDefault="005B73B7" w:rsidP="00900470">
      <w:pPr>
        <w:jc w:val="center"/>
        <w:rPr>
          <w:rFonts w:ascii="Arial" w:hAnsi="Arial" w:cs="Arial"/>
          <w:sz w:val="24"/>
          <w:szCs w:val="24"/>
        </w:rPr>
      </w:pPr>
      <w:r w:rsidRPr="005B73B7">
        <w:rPr>
          <w:rFonts w:ascii="Arial" w:hAnsi="Arial" w:cs="Arial"/>
          <w:sz w:val="24"/>
          <w:szCs w:val="24"/>
        </w:rPr>
        <w:drawing>
          <wp:inline distT="0" distB="0" distL="0" distR="0">
            <wp:extent cx="4616746" cy="4178596"/>
            <wp:effectExtent l="19050" t="0" r="12404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5B73B7" w:rsidSect="002753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F5B" w:rsidRDefault="00760F5B" w:rsidP="000C5E35">
      <w:pPr>
        <w:spacing w:after="0" w:line="240" w:lineRule="auto"/>
      </w:pPr>
      <w:r>
        <w:separator/>
      </w:r>
    </w:p>
  </w:endnote>
  <w:endnote w:type="continuationSeparator" w:id="0">
    <w:p w:rsidR="00760F5B" w:rsidRDefault="00760F5B" w:rsidP="000C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F5B" w:rsidRDefault="00760F5B" w:rsidP="000C5E35">
      <w:pPr>
        <w:spacing w:after="0" w:line="240" w:lineRule="auto"/>
      </w:pPr>
      <w:r>
        <w:separator/>
      </w:r>
    </w:p>
  </w:footnote>
  <w:footnote w:type="continuationSeparator" w:id="0">
    <w:p w:rsidR="00760F5B" w:rsidRDefault="00760F5B" w:rsidP="000C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E35" w:rsidRPr="000570AC" w:rsidRDefault="000C5E35" w:rsidP="000C5E35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0570AC">
      <w:rPr>
        <w:rFonts w:ascii="Times New Roman" w:hAnsi="Times New Roman" w:cs="Times New Roman"/>
        <w:b/>
        <w:sz w:val="28"/>
        <w:szCs w:val="28"/>
      </w:rPr>
      <w:t>FOCUS MARINES FOUNDATION</w:t>
    </w:r>
  </w:p>
  <w:p w:rsidR="000C5E35" w:rsidRPr="000570AC" w:rsidRDefault="000C5E35" w:rsidP="000C5E35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0570AC">
      <w:rPr>
        <w:rFonts w:ascii="Times New Roman" w:hAnsi="Times New Roman" w:cs="Times New Roman"/>
        <w:b/>
        <w:sz w:val="28"/>
        <w:szCs w:val="28"/>
      </w:rPr>
      <w:t>201</w:t>
    </w:r>
    <w:r w:rsidR="001476B6" w:rsidRPr="000570AC">
      <w:rPr>
        <w:rFonts w:ascii="Times New Roman" w:hAnsi="Times New Roman" w:cs="Times New Roman"/>
        <w:b/>
        <w:sz w:val="28"/>
        <w:szCs w:val="28"/>
      </w:rPr>
      <w:t>6</w:t>
    </w:r>
    <w:r w:rsidRPr="000570AC">
      <w:rPr>
        <w:rFonts w:ascii="Times New Roman" w:hAnsi="Times New Roman" w:cs="Times New Roman"/>
        <w:b/>
        <w:sz w:val="28"/>
        <w:szCs w:val="28"/>
      </w:rPr>
      <w:t xml:space="preserve"> Financial Summary</w:t>
    </w:r>
  </w:p>
  <w:p w:rsidR="000C5E35" w:rsidRPr="000570AC" w:rsidRDefault="000C5E35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1796"/>
    <w:rsid w:val="00023244"/>
    <w:rsid w:val="00051D5A"/>
    <w:rsid w:val="000570AC"/>
    <w:rsid w:val="000C3AD7"/>
    <w:rsid w:val="000C5E35"/>
    <w:rsid w:val="000D0C17"/>
    <w:rsid w:val="000F3EB8"/>
    <w:rsid w:val="00126C15"/>
    <w:rsid w:val="00137522"/>
    <w:rsid w:val="001476B6"/>
    <w:rsid w:val="001D7F2B"/>
    <w:rsid w:val="00222066"/>
    <w:rsid w:val="00243D44"/>
    <w:rsid w:val="0027538E"/>
    <w:rsid w:val="002E7E66"/>
    <w:rsid w:val="0034104B"/>
    <w:rsid w:val="00381D65"/>
    <w:rsid w:val="003F6408"/>
    <w:rsid w:val="00403D80"/>
    <w:rsid w:val="00435432"/>
    <w:rsid w:val="0045266B"/>
    <w:rsid w:val="00486300"/>
    <w:rsid w:val="004E260E"/>
    <w:rsid w:val="00553125"/>
    <w:rsid w:val="005722A4"/>
    <w:rsid w:val="005829A2"/>
    <w:rsid w:val="005A5971"/>
    <w:rsid w:val="005B73B7"/>
    <w:rsid w:val="00602267"/>
    <w:rsid w:val="006C6A1A"/>
    <w:rsid w:val="00715791"/>
    <w:rsid w:val="00760F5B"/>
    <w:rsid w:val="00763869"/>
    <w:rsid w:val="00771796"/>
    <w:rsid w:val="00796002"/>
    <w:rsid w:val="007C18B9"/>
    <w:rsid w:val="00900470"/>
    <w:rsid w:val="00916A4E"/>
    <w:rsid w:val="00974FEB"/>
    <w:rsid w:val="009D4D31"/>
    <w:rsid w:val="00A22CC0"/>
    <w:rsid w:val="00A31A0F"/>
    <w:rsid w:val="00AE1C23"/>
    <w:rsid w:val="00B11069"/>
    <w:rsid w:val="00B11340"/>
    <w:rsid w:val="00B4521E"/>
    <w:rsid w:val="00B86CB7"/>
    <w:rsid w:val="00BA467B"/>
    <w:rsid w:val="00BF093C"/>
    <w:rsid w:val="00C158B4"/>
    <w:rsid w:val="00CC4E39"/>
    <w:rsid w:val="00D17D62"/>
    <w:rsid w:val="00D36CD5"/>
    <w:rsid w:val="00D638DC"/>
    <w:rsid w:val="00DB7FB2"/>
    <w:rsid w:val="00E217DD"/>
    <w:rsid w:val="00E37D1C"/>
    <w:rsid w:val="00EE2162"/>
    <w:rsid w:val="00F6695B"/>
    <w:rsid w:val="00F8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E35"/>
  </w:style>
  <w:style w:type="paragraph" w:styleId="Footer">
    <w:name w:val="footer"/>
    <w:basedOn w:val="Normal"/>
    <w:link w:val="FooterChar"/>
    <w:uiPriority w:val="99"/>
    <w:semiHidden/>
    <w:unhideWhenUsed/>
    <w:rsid w:val="000C5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ocuments\EXCEL\FOCUS\WEBSITE\2016\Financial%20info%20for%20website%20December%2031,%20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ocuments\EXCEL\FOCUS\WEBSITE\2016\Financial%20info%20for%20website%20December%2031,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2000"/>
            </a:pPr>
            <a:r>
              <a:rPr lang="en-US" sz="1400"/>
              <a:t>Summary</a:t>
            </a:r>
            <a:r>
              <a:rPr lang="en-US" sz="1400" baseline="0"/>
              <a:t> of Costs By Type - 2016</a:t>
            </a:r>
          </a:p>
          <a:p>
            <a:pPr>
              <a:defRPr sz="2000"/>
            </a:pPr>
            <a:r>
              <a:rPr lang="en-US" sz="1200"/>
              <a:t>Total Costs = $778,000</a:t>
            </a:r>
          </a:p>
          <a:p>
            <a:pPr>
              <a:defRPr sz="2000"/>
            </a:pPr>
            <a:endParaRPr lang="en-US" sz="1200"/>
          </a:p>
          <a:p>
            <a:pPr>
              <a:defRPr sz="2000"/>
            </a:pPr>
            <a:endParaRPr lang="en-US" sz="1200"/>
          </a:p>
        </c:rich>
      </c:tx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9576356209911631"/>
          <c:y val="0.28943654770426513"/>
          <c:w val="0.57678309660239202"/>
          <c:h val="0.57023809523809565"/>
        </c:manualLayout>
      </c:layout>
      <c:pie3DChart>
        <c:varyColors val="1"/>
        <c:ser>
          <c:idx val="0"/>
          <c:order val="0"/>
          <c:explosion val="25"/>
          <c:dPt>
            <c:idx val="5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8"/>
            <c:spPr>
              <a:solidFill>
                <a:schemeClr val="bg2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5.6818763218008814E-2"/>
                  <c:y val="-8.8838810233183865E-2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1.9153449851688063E-2"/>
                  <c:y val="7.2473114270421829E-2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6.3158221604751291E-2"/>
                  <c:y val="4.260310673000562E-2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3.0159505702977592E-2"/>
                  <c:y val="0.11366502988448013"/>
                </c:manualLayout>
              </c:layout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-6.8928362168247242E-2"/>
                  <c:y val="7.7686647379815732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Other</a:t>
                    </a:r>
                    <a:r>
                      <a:rPr lang="en-US"/>
                      <a:t>
9%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-9.8615639350024986E-2"/>
                  <c:y val="7.2790528020471534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C</a:t>
                    </a:r>
                    <a:r>
                      <a:rPr lang="en-US"/>
                      <a:t>omputers - Participants
6%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-0.13009258186799774"/>
                  <c:y val="-1.89503858269609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Participant Provisions
6%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7"/>
              <c:layout>
                <c:manualLayout>
                  <c:x val="-2.1474682528589344E-2"/>
                  <c:y val="-6.9642203815432388E-2"/>
                </c:manualLayout>
              </c:layout>
              <c:dLblPos val="bestFit"/>
              <c:showCatName val="1"/>
              <c:showPercent val="1"/>
            </c:dLbl>
            <c:dLbl>
              <c:idx val="8"/>
              <c:layout>
                <c:manualLayout>
                  <c:x val="0.11799008089104165"/>
                  <c:y val="-9.3649075796147202E-2"/>
                </c:manualLayout>
              </c:layout>
              <c:dLblPos val="bestFit"/>
              <c:showCatName val="1"/>
              <c:showPercent val="1"/>
            </c:dLbl>
            <c:dLbl>
              <c:idx val="9"/>
              <c:layout>
                <c:manualLayout>
                  <c:x val="0.11873166741731267"/>
                  <c:y val="-4.1626614854961511E-2"/>
                </c:manualLayout>
              </c:layout>
              <c:dLblPos val="bestFit"/>
              <c:showCatName val="1"/>
              <c:showPercent val="1"/>
            </c:dLbl>
            <c:dLbl>
              <c:idx val="10"/>
              <c:layout>
                <c:manualLayout>
                  <c:x val="0.13590464731875118"/>
                  <c:y val="-0.11553511507264123"/>
                </c:manualLayout>
              </c:layout>
              <c:dLblPos val="bestFit"/>
              <c:showCatName val="1"/>
              <c:showPercent val="1"/>
            </c:dLbl>
            <c:dLbl>
              <c:idx val="11"/>
              <c:layout>
                <c:manualLayout>
                  <c:x val="0.18472465471818023"/>
                  <c:y val="-5.5455093429776982E-2"/>
                </c:manualLayout>
              </c:layout>
              <c:dLblPos val="bestFit"/>
              <c:showCatName val="1"/>
              <c:showPercent val="1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CatName val="1"/>
            <c:showPercent val="1"/>
            <c:showLeaderLines val="1"/>
            <c:leaderLines>
              <c:spPr>
                <a:ln>
                  <a:solidFill>
                    <a:schemeClr val="tx1"/>
                  </a:solidFill>
                </a:ln>
              </c:spPr>
            </c:leaderLines>
          </c:dLbls>
          <c:cat>
            <c:strRef>
              <c:f>Charts!$C$45:$C$53</c:f>
              <c:strCache>
                <c:ptCount val="9"/>
                <c:pt idx="0">
                  <c:v>Lodging, travel, meals</c:v>
                </c:pt>
                <c:pt idx="1">
                  <c:v> Payroll &amp; Taxes</c:v>
                </c:pt>
                <c:pt idx="2">
                  <c:v>Professional &amp; Speaker Fees</c:v>
                </c:pt>
                <c:pt idx="3">
                  <c:v>Supplies,Printing,Postage,IT</c:v>
                </c:pt>
                <c:pt idx="4">
                  <c:v>Other </c:v>
                </c:pt>
                <c:pt idx="5">
                  <c:v>Computers - Participants</c:v>
                </c:pt>
                <c:pt idx="6">
                  <c:v>Particpant Provisions</c:v>
                </c:pt>
                <c:pt idx="7">
                  <c:v>Support Services - EMT, Nurses, etc</c:v>
                </c:pt>
                <c:pt idx="8">
                  <c:v>Class Mentor Fees</c:v>
                </c:pt>
              </c:strCache>
            </c:strRef>
          </c:cat>
          <c:val>
            <c:numRef>
              <c:f>Charts!$D$45:$D$53</c:f>
              <c:numCache>
                <c:formatCode>"$"#,##0</c:formatCode>
                <c:ptCount val="9"/>
                <c:pt idx="0">
                  <c:v>214596.91000000003</c:v>
                </c:pt>
                <c:pt idx="1">
                  <c:v>132543.86000000002</c:v>
                </c:pt>
                <c:pt idx="2">
                  <c:v>107410</c:v>
                </c:pt>
                <c:pt idx="3">
                  <c:v>77381.13</c:v>
                </c:pt>
                <c:pt idx="4">
                  <c:v>70661.42</c:v>
                </c:pt>
                <c:pt idx="5">
                  <c:v>49434.83</c:v>
                </c:pt>
                <c:pt idx="6">
                  <c:v>47376.689999999995</c:v>
                </c:pt>
                <c:pt idx="7">
                  <c:v>44440</c:v>
                </c:pt>
                <c:pt idx="8">
                  <c:v>34500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gradFill flip="none" rotWithShape="1">
      <a:gsLst>
        <a:gs pos="0">
          <a:srgbClr val="A7C6EB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2700000" scaled="0"/>
      <a:tileRect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2000"/>
            </a:pPr>
            <a:r>
              <a:rPr lang="en-US" sz="1400"/>
              <a:t>Summary</a:t>
            </a:r>
            <a:r>
              <a:rPr lang="en-US" sz="1400" baseline="0"/>
              <a:t> of Costs By Function - 2016</a:t>
            </a:r>
          </a:p>
          <a:p>
            <a:pPr>
              <a:defRPr sz="2000"/>
            </a:pPr>
            <a:r>
              <a:rPr lang="en-US" sz="1200"/>
              <a:t>Total Costs = $778,000</a:t>
            </a:r>
          </a:p>
          <a:p>
            <a:pPr>
              <a:defRPr sz="2000"/>
            </a:pPr>
            <a:endParaRPr lang="en-US" sz="1200"/>
          </a:p>
        </c:rich>
      </c:tx>
      <c:overlay val="1"/>
    </c:title>
    <c:view3D>
      <c:rotX val="30"/>
      <c:depthPercent val="100"/>
      <c:perspective val="20"/>
    </c:view3D>
    <c:plotArea>
      <c:layout>
        <c:manualLayout>
          <c:layoutTarget val="inner"/>
          <c:xMode val="edge"/>
          <c:yMode val="edge"/>
          <c:x val="0.1613515261748921"/>
          <c:y val="0.18761360296985452"/>
          <c:w val="0.76934319581816935"/>
          <c:h val="0.76159631651420223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-8.4720730397422311E-2"/>
                  <c:y val="8.7519850624206197E-2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4.2115579267830418E-2"/>
                  <c:y val="-4.2330145975573996E-2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7.7771241196200533E-2"/>
                  <c:y val="-8.4257406361717357E-2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21324293637476538"/>
                  <c:y val="-1.0339985939601119E-2"/>
                </c:manualLayout>
              </c:layout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-4.4636609772890821E-2"/>
                  <c:y val="3.4073013600572764E-2"/>
                </c:manualLayout>
              </c:layout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-6.3755817505060389E-2"/>
                  <c:y val="3.5407392257786011E-2"/>
                </c:manualLayout>
              </c:layout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-9.7750236841696564E-2"/>
                  <c:y val="-2.518071604685778E-2"/>
                </c:manualLayout>
              </c:layout>
              <c:dLblPos val="bestFit"/>
              <c:showCatName val="1"/>
              <c:showPercent val="1"/>
            </c:dLbl>
            <c:dLbl>
              <c:idx val="7"/>
              <c:layout>
                <c:manualLayout>
                  <c:x val="-2.1474682528589344E-2"/>
                  <c:y val="-6.9642203815432388E-2"/>
                </c:manualLayout>
              </c:layout>
              <c:dLblPos val="bestFit"/>
              <c:showCatName val="1"/>
              <c:showPercent val="1"/>
            </c:dLbl>
            <c:dLbl>
              <c:idx val="8"/>
              <c:layout>
                <c:manualLayout>
                  <c:x val="0.10759374013159639"/>
                  <c:y val="-6.5611798525184353E-2"/>
                </c:manualLayout>
              </c:layout>
              <c:dLblPos val="bestFit"/>
              <c:showCatName val="1"/>
              <c:showPercent val="1"/>
            </c:dLbl>
            <c:dLbl>
              <c:idx val="9"/>
              <c:layout>
                <c:manualLayout>
                  <c:x val="0.11873166741731267"/>
                  <c:y val="-4.1626614854961511E-2"/>
                </c:manualLayout>
              </c:layout>
              <c:dLblPos val="bestFit"/>
              <c:showCatName val="1"/>
              <c:showPercent val="1"/>
            </c:dLbl>
            <c:dLbl>
              <c:idx val="10"/>
              <c:layout>
                <c:manualLayout>
                  <c:x val="0.13590464731875118"/>
                  <c:y val="-0.11553511507264123"/>
                </c:manualLayout>
              </c:layout>
              <c:dLblPos val="bestFit"/>
              <c:showCatName val="1"/>
              <c:showPercent val="1"/>
            </c:dLbl>
            <c:dLbl>
              <c:idx val="11"/>
              <c:layout>
                <c:manualLayout>
                  <c:x val="0.18472465471818023"/>
                  <c:y val="-5.5455093429776982E-2"/>
                </c:manualLayout>
              </c:layout>
              <c:dLblPos val="bestFit"/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1000" b="0">
                    <a:latin typeface="+mn-lt"/>
                  </a:defRPr>
                </a:pPr>
                <a:endParaRPr lang="en-US"/>
              </a:p>
            </c:txPr>
            <c:dLblPos val="outEnd"/>
            <c:showCatName val="1"/>
            <c:showPercent val="1"/>
            <c:showLeaderLines val="1"/>
            <c:leaderLines>
              <c:spPr>
                <a:ln>
                  <a:solidFill>
                    <a:schemeClr val="tx1"/>
                  </a:solidFill>
                </a:ln>
              </c:spPr>
            </c:leaderLines>
          </c:dLbls>
          <c:cat>
            <c:strRef>
              <c:f>Charts!$C$57:$C$60</c:f>
              <c:strCache>
                <c:ptCount val="4"/>
                <c:pt idx="0">
                  <c:v>FOCUS Courses</c:v>
                </c:pt>
                <c:pt idx="1">
                  <c:v>Fundraising</c:v>
                </c:pt>
                <c:pt idx="2">
                  <c:v>Administration</c:v>
                </c:pt>
                <c:pt idx="3">
                  <c:v>Mentoring Program</c:v>
                </c:pt>
              </c:strCache>
            </c:strRef>
          </c:cat>
          <c:val>
            <c:numRef>
              <c:f>Charts!$D$57:$D$60</c:f>
              <c:numCache>
                <c:formatCode>"$"#,##0</c:formatCode>
                <c:ptCount val="4"/>
                <c:pt idx="0">
                  <c:v>572797.25999999978</c:v>
                </c:pt>
                <c:pt idx="1">
                  <c:v>103244.63000000003</c:v>
                </c:pt>
                <c:pt idx="2">
                  <c:v>52903.48</c:v>
                </c:pt>
                <c:pt idx="3">
                  <c:v>49399.47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gradFill flip="none" rotWithShape="1">
      <a:gsLst>
        <a:gs pos="0">
          <a:srgbClr val="A7C6EB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2700000" scaled="0"/>
      <a:tileRect/>
    </a:gradFill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ncdprep</dc:creator>
  <cp:lastModifiedBy>Dell</cp:lastModifiedBy>
  <cp:revision>6</cp:revision>
  <cp:lastPrinted>2017-03-10T16:19:00Z</cp:lastPrinted>
  <dcterms:created xsi:type="dcterms:W3CDTF">2017-03-10T16:10:00Z</dcterms:created>
  <dcterms:modified xsi:type="dcterms:W3CDTF">2017-03-10T16:20:00Z</dcterms:modified>
</cp:coreProperties>
</file>